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5D8E" w14:textId="4F126514" w:rsidR="008A20C9" w:rsidRPr="008A20C9" w:rsidRDefault="008A20C9" w:rsidP="008A20C9">
      <w:pPr>
        <w:spacing w:after="100" w:afterAutospacing="1" w:line="240" w:lineRule="auto"/>
        <w:outlineLvl w:val="2"/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>Text</w:t>
      </w: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>b</w:t>
      </w: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>eispiel für Patienteninformation</w:t>
      </w: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 xml:space="preserve"> zur </w:t>
      </w: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>Anpassung beim Vertriebsanteil</w:t>
      </w: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 xml:space="preserve"> Medikamente</w:t>
      </w:r>
    </w:p>
    <w:p w14:paraId="73CD8707" w14:textId="77777777" w:rsidR="008A20C9" w:rsidRPr="008A20C9" w:rsidRDefault="008A20C9" w:rsidP="008A20C9">
      <w:p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</w:p>
    <w:p w14:paraId="5B15EB3F" w14:textId="687BE358" w:rsidR="008A20C9" w:rsidRPr="008A20C9" w:rsidRDefault="008A20C9" w:rsidP="008A20C9">
      <w:pPr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 xml:space="preserve">Anpassung des Vertriebsanteils bei Medikamenten per 1. Juli 2024 </w:t>
      </w:r>
    </w:p>
    <w:p w14:paraId="549E74E8" w14:textId="77777777" w:rsidR="008A20C9" w:rsidRDefault="008A20C9" w:rsidP="008A20C9">
      <w:p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Liebe Patientin, lieber Patient</w:t>
      </w:r>
    </w:p>
    <w:p w14:paraId="1389D0E0" w14:textId="77777777" w:rsidR="008A20C9" w:rsidRDefault="008A20C9" w:rsidP="008A20C9">
      <w:p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Der Bund führt ein neues Preismodell für die Abgabe von Medikamenten ein. Zum 1. Juli 2024 wird deshalb der Vertriebsanteil bei verschreibungspflichtigen und kassenzulässigen Medikamenten angepasst.</w:t>
      </w:r>
      <w: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br/>
      </w: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Der Vertriebsanteil regelt die Abgeltung logistischer Leistungen (z. B. Personallöhne, Transportkosten etc.).</w:t>
      </w:r>
      <w: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br/>
      </w: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Die Massnahme zielt darauf ab, die Gesundheitskosten insgesamt zu reduzieren, die Versorgungssicherheit zu gewährleisten und somit eine Entlastung für die breite Bevölkerung zu schaffen.</w:t>
      </w:r>
    </w:p>
    <w:p w14:paraId="72EEC7D8" w14:textId="5CC1D80A" w:rsidR="008A20C9" w:rsidRPr="008A20C9" w:rsidRDefault="008A20C9" w:rsidP="008A20C9">
      <w:p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Gründe für die Anpassungen:</w:t>
      </w:r>
    </w:p>
    <w:p w14:paraId="1BDD5958" w14:textId="005DC0DB" w:rsidR="008A20C9" w:rsidRPr="008A20C9" w:rsidRDefault="008A20C9" w:rsidP="008A20C9">
      <w:pPr>
        <w:pStyle w:val="Listenabsatz"/>
        <w:numPr>
          <w:ilvl w:val="0"/>
          <w:numId w:val="2"/>
        </w:num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Der Vertriebsanteil wird erstmals seit 20 Jahren angepasst. Dies, um den heutigen tatsächlichen Kosten besser gerecht zu werden.</w:t>
      </w:r>
    </w:p>
    <w:p w14:paraId="530D524A" w14:textId="77777777" w:rsidR="008A20C9" w:rsidRDefault="008A20C9" w:rsidP="008A20C9">
      <w:pPr>
        <w:pStyle w:val="Listenabsatz"/>
        <w:numPr>
          <w:ilvl w:val="0"/>
          <w:numId w:val="2"/>
        </w:num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 xml:space="preserve">Der Vertriebsanteil bei Originalpräparaten ist aktuell deutlich höher als bei Generika oder Biosimilars. Originale werden deshalb zum jetzigen Zeitpunkt häufiger abgegeben. Die Anpassung des Vertriebsanteils soll </w:t>
      </w:r>
      <w:proofErr w:type="gramStart"/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dem entgegenwirken</w:t>
      </w:r>
      <w:proofErr w:type="gramEnd"/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 xml:space="preserve"> und den Einsatz von Generika und Biosimilars fördern.</w:t>
      </w:r>
    </w:p>
    <w:p w14:paraId="4D75A241" w14:textId="711523DA" w:rsidR="008A20C9" w:rsidRPr="008A20C9" w:rsidRDefault="008A20C9" w:rsidP="008A20C9">
      <w:pPr>
        <w:pStyle w:val="Listenabsatz"/>
        <w:numPr>
          <w:ilvl w:val="0"/>
          <w:numId w:val="2"/>
        </w:numPr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color w:val="000000"/>
          <w:kern w:val="36"/>
          <w:sz w:val="24"/>
          <w:szCs w:val="24"/>
          <w:lang w:eastAsia="de-CH"/>
        </w:rPr>
        <w:t>Die Anpassung betrifft hauptsächlich Medikamente, die von der obligatorischen Krankenkasse vergütet werden. Nicht rezeptpflichtige sind nur sehr selten von der Anpassung betroffen.</w:t>
      </w:r>
    </w:p>
    <w:p w14:paraId="34DE69F6" w14:textId="77777777" w:rsidR="008A20C9" w:rsidRDefault="008A20C9" w:rsidP="008A20C9">
      <w:pPr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</w:pPr>
      <w:r w:rsidRPr="008A20C9">
        <w:rPr>
          <w:rFonts w:asciiTheme="minorHAnsi" w:eastAsia="Times New Roman" w:hAnsiTheme="minorHAnsi" w:cs="Times"/>
          <w:b/>
          <w:bCs/>
          <w:color w:val="000000"/>
          <w:kern w:val="36"/>
          <w:sz w:val="24"/>
          <w:szCs w:val="24"/>
          <w:lang w:eastAsia="de-CH"/>
        </w:rPr>
        <w:t>Bei Unsicherheiten oder Rückfragen wenden Sie sich gerne direkt an das Praxisteam</w:t>
      </w:r>
    </w:p>
    <w:p w14:paraId="0C445C3A" w14:textId="77777777" w:rsidR="008976ED" w:rsidRDefault="008976ED"/>
    <w:sectPr w:rsidR="00897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s Grotesque Pro Off-White">
    <w:panose1 w:val="020B0503030604040103"/>
    <w:charset w:val="00"/>
    <w:family w:val="swiss"/>
    <w:notTrueType/>
    <w:pitch w:val="variable"/>
    <w:sig w:usb0="000002C7" w:usb1="00000000" w:usb2="00000000" w:usb3="00000000" w:csb0="0000001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3C8"/>
    <w:multiLevelType w:val="hybridMultilevel"/>
    <w:tmpl w:val="F410B832"/>
    <w:lvl w:ilvl="0" w:tplc="4D368ACA">
      <w:numFmt w:val="bullet"/>
      <w:lvlText w:val="–"/>
      <w:lvlJc w:val="left"/>
      <w:pPr>
        <w:ind w:left="405" w:hanging="360"/>
      </w:pPr>
      <w:rPr>
        <w:rFonts w:ascii="Aptos" w:eastAsia="Times New Roman" w:hAnsi="Aptos" w:cs="Times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5B040E4"/>
    <w:multiLevelType w:val="hybridMultilevel"/>
    <w:tmpl w:val="6F42D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78418">
    <w:abstractNumId w:val="1"/>
  </w:num>
  <w:num w:numId="2" w16cid:durableId="161463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C9"/>
    <w:rsid w:val="004E07A2"/>
    <w:rsid w:val="005B69C3"/>
    <w:rsid w:val="008976ED"/>
    <w:rsid w:val="008A20C9"/>
    <w:rsid w:val="009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007710"/>
  <w14:defaultImageDpi w14:val="32767"/>
  <w15:chartTrackingRefBased/>
  <w15:docId w15:val="{802929AE-CE42-411A-A3BA-9EE74E1D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s Grotesque Pro Off-White" w:eastAsiaTheme="minorHAnsi" w:hAnsi="Basis Grotesque Pro Off-White" w:cstheme="minorBidi"/>
        <w:szCs w:val="40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0C9"/>
    <w:rPr>
      <w:rFonts w:ascii="Frutiger LT Com 45 Light" w:hAnsi="Frutiger LT Com 45 Light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20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0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0"/>
      <w:szCs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20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0"/>
      <w:szCs w:val="4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20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4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20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20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4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20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20C9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20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0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20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20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20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20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20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20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20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20C9"/>
    <w:pPr>
      <w:spacing w:before="160"/>
      <w:jc w:val="center"/>
    </w:pPr>
    <w:rPr>
      <w:rFonts w:ascii="Basis Grotesque Pro Off-White" w:hAnsi="Basis Grotesque Pro Off-White"/>
      <w:i/>
      <w:iCs/>
      <w:color w:val="404040" w:themeColor="text1" w:themeTint="BF"/>
      <w:sz w:val="20"/>
      <w:szCs w:val="40"/>
    </w:rPr>
  </w:style>
  <w:style w:type="character" w:customStyle="1" w:styleId="ZitatZchn">
    <w:name w:val="Zitat Zchn"/>
    <w:basedOn w:val="Absatz-Standardschriftart"/>
    <w:link w:val="Zitat"/>
    <w:uiPriority w:val="29"/>
    <w:rsid w:val="008A20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20C9"/>
    <w:pPr>
      <w:ind w:left="720"/>
      <w:contextualSpacing/>
    </w:pPr>
    <w:rPr>
      <w:rFonts w:ascii="Basis Grotesque Pro Off-White" w:hAnsi="Basis Grotesque Pro Off-White"/>
      <w:sz w:val="20"/>
      <w:szCs w:val="40"/>
    </w:rPr>
  </w:style>
  <w:style w:type="character" w:styleId="IntensiveHervorhebung">
    <w:name w:val="Intense Emphasis"/>
    <w:basedOn w:val="Absatz-Standardschriftart"/>
    <w:uiPriority w:val="21"/>
    <w:qFormat/>
    <w:rsid w:val="008A20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asis Grotesque Pro Off-White" w:hAnsi="Basis Grotesque Pro Off-White"/>
      <w:i/>
      <w:iCs/>
      <w:color w:val="0F4761" w:themeColor="accent1" w:themeShade="BF"/>
      <w:sz w:val="20"/>
      <w:szCs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20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20C9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0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A20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A20C9"/>
    <w:rPr>
      <w:rFonts w:ascii="Frutiger LT Com 45 Light" w:hAnsi="Frutiger LT Com 45 Ligh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Huber</dc:creator>
  <cp:keywords/>
  <dc:description/>
  <cp:lastModifiedBy>Nina Huber</cp:lastModifiedBy>
  <cp:revision>1</cp:revision>
  <dcterms:created xsi:type="dcterms:W3CDTF">2024-07-02T06:11:00Z</dcterms:created>
  <dcterms:modified xsi:type="dcterms:W3CDTF">2024-07-02T06:16:00Z</dcterms:modified>
</cp:coreProperties>
</file>